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AB18" w14:textId="77777777" w:rsidR="00D3409F" w:rsidRPr="005C3F07" w:rsidRDefault="00D3409F" w:rsidP="006C5ABE">
      <w:pPr>
        <w:widowControl w:val="0"/>
        <w:spacing w:after="0" w:line="240" w:lineRule="auto"/>
        <w:jc w:val="center"/>
        <w:rPr>
          <w:rFonts w:ascii="Adelle Sans Lt" w:hAnsi="Adelle Sans Lt"/>
          <w:b/>
          <w:color w:val="404040"/>
          <w:sz w:val="24"/>
          <w:szCs w:val="24"/>
        </w:rPr>
      </w:pPr>
    </w:p>
    <w:p w14:paraId="28DEB5D3" w14:textId="77777777" w:rsidR="00B92704" w:rsidRPr="005C3F07" w:rsidRDefault="00D24EE7" w:rsidP="006C5ABE">
      <w:pPr>
        <w:spacing w:line="240" w:lineRule="auto"/>
        <w:jc w:val="center"/>
        <w:rPr>
          <w:rFonts w:ascii="Adelle Sans Lt" w:hAnsi="Adelle Sans Lt"/>
          <w:b/>
          <w:color w:val="404040"/>
          <w:sz w:val="24"/>
          <w:szCs w:val="24"/>
        </w:rPr>
      </w:pPr>
      <w:r w:rsidRPr="005C3F07">
        <w:rPr>
          <w:rFonts w:ascii="Adelle Sans Lt" w:hAnsi="Adelle Sans Lt"/>
          <w:b/>
          <w:color w:val="404040"/>
          <w:sz w:val="24"/>
          <w:szCs w:val="24"/>
        </w:rPr>
        <w:t>Annual Statement on Research Integrity</w:t>
      </w:r>
      <w:r w:rsidR="00E34F8F" w:rsidRPr="005C3F07">
        <w:rPr>
          <w:rFonts w:ascii="Adelle Sans Lt" w:hAnsi="Adelle Sans Lt"/>
          <w:b/>
          <w:color w:val="404040"/>
          <w:sz w:val="24"/>
          <w:szCs w:val="24"/>
        </w:rPr>
        <w:t>, 20</w:t>
      </w:r>
      <w:r w:rsidR="005D1CBA" w:rsidRPr="005C3F07">
        <w:rPr>
          <w:rFonts w:ascii="Adelle Sans Lt" w:hAnsi="Adelle Sans Lt"/>
          <w:b/>
          <w:color w:val="404040"/>
          <w:sz w:val="24"/>
          <w:szCs w:val="24"/>
        </w:rPr>
        <w:t>2</w:t>
      </w:r>
      <w:r w:rsidR="00C37F66" w:rsidRPr="005C3F07">
        <w:rPr>
          <w:rFonts w:ascii="Adelle Sans Lt" w:hAnsi="Adelle Sans Lt"/>
          <w:b/>
          <w:color w:val="404040"/>
          <w:sz w:val="24"/>
          <w:szCs w:val="24"/>
        </w:rPr>
        <w:t>3</w:t>
      </w:r>
      <w:r w:rsidR="005D1CBA" w:rsidRPr="005C3F07">
        <w:rPr>
          <w:rFonts w:ascii="Adelle Sans Lt" w:hAnsi="Adelle Sans Lt"/>
          <w:b/>
          <w:color w:val="404040"/>
          <w:sz w:val="24"/>
          <w:szCs w:val="24"/>
        </w:rPr>
        <w:t>/202</w:t>
      </w:r>
      <w:r w:rsidR="00C37F66" w:rsidRPr="005C3F07">
        <w:rPr>
          <w:rFonts w:ascii="Adelle Sans Lt" w:hAnsi="Adelle Sans Lt"/>
          <w:b/>
          <w:color w:val="404040"/>
          <w:sz w:val="24"/>
          <w:szCs w:val="24"/>
        </w:rPr>
        <w:t>4</w:t>
      </w:r>
    </w:p>
    <w:p w14:paraId="02F22E08" w14:textId="77777777" w:rsidR="0056322C" w:rsidRPr="005C3F07" w:rsidRDefault="0056322C" w:rsidP="006C5ABE">
      <w:pPr>
        <w:spacing w:after="0" w:line="240" w:lineRule="auto"/>
        <w:jc w:val="both"/>
        <w:rPr>
          <w:rFonts w:ascii="Adelle Sans Lt" w:hAnsi="Adelle Sans Lt"/>
          <w:b/>
          <w:color w:val="404040"/>
          <w:sz w:val="24"/>
          <w:szCs w:val="24"/>
        </w:rPr>
      </w:pPr>
      <w:bookmarkStart w:id="0" w:name="_Hlk118725793"/>
      <w:r w:rsidRPr="005C3F07">
        <w:rPr>
          <w:rFonts w:ascii="Adelle Sans Lt" w:hAnsi="Adelle Sans Lt"/>
          <w:b/>
          <w:color w:val="404040"/>
          <w:sz w:val="24"/>
          <w:szCs w:val="24"/>
        </w:rPr>
        <w:t>Background for Trustees</w:t>
      </w:r>
    </w:p>
    <w:p w14:paraId="1FDC9C3C" w14:textId="77777777" w:rsidR="0045366F" w:rsidRPr="005C3F07" w:rsidRDefault="0056322C" w:rsidP="006C5ABE">
      <w:pPr>
        <w:tabs>
          <w:tab w:val="num" w:pos="720"/>
        </w:tabs>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Trustees will remember</w:t>
      </w:r>
      <w:r w:rsidR="00C37F66" w:rsidRPr="005C3F07">
        <w:rPr>
          <w:rFonts w:ascii="Adelle Sans Lt" w:hAnsi="Adelle Sans Lt"/>
          <w:color w:val="404040"/>
          <w:sz w:val="24"/>
          <w:szCs w:val="24"/>
        </w:rPr>
        <w:t>, one of our commitments as an</w:t>
      </w:r>
      <w:r w:rsidRPr="005C3F07">
        <w:rPr>
          <w:rFonts w:ascii="Adelle Sans Lt" w:hAnsi="Adelle Sans Lt"/>
          <w:color w:val="404040"/>
          <w:sz w:val="24"/>
          <w:szCs w:val="24"/>
        </w:rPr>
        <w:t xml:space="preserve"> ‘</w:t>
      </w:r>
      <w:r w:rsidR="006C6ACB" w:rsidRPr="005C3F07">
        <w:rPr>
          <w:rFonts w:ascii="Adelle Sans Lt" w:hAnsi="Adelle Sans Lt"/>
          <w:color w:val="404040"/>
          <w:sz w:val="24"/>
          <w:szCs w:val="24"/>
        </w:rPr>
        <w:t xml:space="preserve">independent </w:t>
      </w:r>
      <w:r w:rsidRPr="005C3F07">
        <w:rPr>
          <w:rFonts w:ascii="Adelle Sans Lt" w:hAnsi="Adelle Sans Lt"/>
          <w:color w:val="404040"/>
          <w:sz w:val="24"/>
          <w:szCs w:val="24"/>
        </w:rPr>
        <w:t xml:space="preserve">research </w:t>
      </w:r>
      <w:r w:rsidR="006C6ACB" w:rsidRPr="005C3F07">
        <w:rPr>
          <w:rFonts w:ascii="Adelle Sans Lt" w:hAnsi="Adelle Sans Lt"/>
          <w:color w:val="404040"/>
          <w:sz w:val="24"/>
          <w:szCs w:val="24"/>
        </w:rPr>
        <w:t xml:space="preserve">organisation’ (IRO) </w:t>
      </w:r>
      <w:r w:rsidR="00C37F66" w:rsidRPr="005C3F07">
        <w:rPr>
          <w:rFonts w:ascii="Adelle Sans Lt" w:hAnsi="Adelle Sans Lt"/>
          <w:color w:val="404040"/>
          <w:sz w:val="24"/>
          <w:szCs w:val="24"/>
        </w:rPr>
        <w:t xml:space="preserve">recognised by </w:t>
      </w:r>
      <w:r w:rsidRPr="005C3F07">
        <w:rPr>
          <w:rFonts w:ascii="Adelle Sans Lt" w:hAnsi="Adelle Sans Lt"/>
          <w:color w:val="404040"/>
          <w:sz w:val="24"/>
          <w:szCs w:val="24"/>
        </w:rPr>
        <w:t>UK Research and Innovation (UKRI)</w:t>
      </w:r>
      <w:r w:rsidR="00805DD7" w:rsidRPr="005C3F07">
        <w:rPr>
          <w:rFonts w:ascii="Adelle Sans Lt" w:hAnsi="Adelle Sans Lt"/>
          <w:color w:val="404040"/>
          <w:sz w:val="24"/>
          <w:szCs w:val="24"/>
        </w:rPr>
        <w:t xml:space="preserve"> </w:t>
      </w:r>
      <w:r w:rsidRPr="005C3F07">
        <w:rPr>
          <w:rFonts w:ascii="Adelle Sans Lt" w:hAnsi="Adelle Sans Lt"/>
          <w:color w:val="404040"/>
          <w:sz w:val="24"/>
          <w:szCs w:val="24"/>
        </w:rPr>
        <w:t xml:space="preserve">is to present </w:t>
      </w:r>
      <w:r w:rsidR="00805DD7" w:rsidRPr="005C3F07">
        <w:rPr>
          <w:rFonts w:ascii="Adelle Sans Lt" w:hAnsi="Adelle Sans Lt"/>
          <w:color w:val="404040"/>
          <w:sz w:val="24"/>
          <w:szCs w:val="24"/>
        </w:rPr>
        <w:t xml:space="preserve">to the </w:t>
      </w:r>
      <w:r w:rsidR="00F469E9" w:rsidRPr="005C3F07">
        <w:rPr>
          <w:rFonts w:ascii="Adelle Sans Lt" w:hAnsi="Adelle Sans Lt"/>
          <w:color w:val="404040"/>
          <w:sz w:val="24"/>
          <w:szCs w:val="24"/>
        </w:rPr>
        <w:t xml:space="preserve">Board of Trustees an annual statement on Research Integrity, which will also be made available on our website. </w:t>
      </w:r>
    </w:p>
    <w:p w14:paraId="6D626D88" w14:textId="77777777" w:rsidR="0045366F" w:rsidRPr="005C3F07" w:rsidRDefault="0045366F" w:rsidP="006C5ABE">
      <w:pPr>
        <w:tabs>
          <w:tab w:val="num" w:pos="720"/>
        </w:tabs>
        <w:spacing w:after="0" w:line="240" w:lineRule="auto"/>
        <w:jc w:val="both"/>
        <w:rPr>
          <w:rFonts w:ascii="Adelle Sans Lt" w:hAnsi="Adelle Sans Lt"/>
          <w:color w:val="404040"/>
          <w:sz w:val="24"/>
          <w:szCs w:val="24"/>
        </w:rPr>
      </w:pPr>
    </w:p>
    <w:p w14:paraId="7410F30A" w14:textId="77777777" w:rsidR="0056322C" w:rsidRPr="005C3F07" w:rsidRDefault="00290A1F" w:rsidP="006C5ABE">
      <w:pPr>
        <w:tabs>
          <w:tab w:val="num" w:pos="720"/>
        </w:tabs>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 xml:space="preserve">This is our </w:t>
      </w:r>
      <w:r w:rsidR="00805DD7" w:rsidRPr="005C3F07">
        <w:rPr>
          <w:rFonts w:ascii="Adelle Sans Lt" w:hAnsi="Adelle Sans Lt"/>
          <w:color w:val="404040"/>
          <w:sz w:val="24"/>
          <w:szCs w:val="24"/>
        </w:rPr>
        <w:t xml:space="preserve">third </w:t>
      </w:r>
      <w:r w:rsidRPr="005C3F07">
        <w:rPr>
          <w:rFonts w:ascii="Adelle Sans Lt" w:hAnsi="Adelle Sans Lt"/>
          <w:color w:val="404040"/>
          <w:sz w:val="24"/>
          <w:szCs w:val="24"/>
        </w:rPr>
        <w:t xml:space="preserve">annual statement, and there have been no </w:t>
      </w:r>
      <w:r w:rsidR="0045366F" w:rsidRPr="005C3F07">
        <w:rPr>
          <w:rFonts w:ascii="Adelle Sans Lt" w:hAnsi="Adelle Sans Lt"/>
          <w:color w:val="404040"/>
          <w:sz w:val="24"/>
          <w:szCs w:val="24"/>
        </w:rPr>
        <w:t xml:space="preserve">research integrity issues nor significant changes to our procedures during the year to date. </w:t>
      </w:r>
      <w:r w:rsidR="00805DD7" w:rsidRPr="005C3F07">
        <w:rPr>
          <w:rFonts w:ascii="Adelle Sans Lt" w:hAnsi="Adelle Sans Lt"/>
          <w:color w:val="404040"/>
          <w:sz w:val="24"/>
          <w:szCs w:val="24"/>
        </w:rPr>
        <w:t>W</w:t>
      </w:r>
      <w:r w:rsidR="0045366F" w:rsidRPr="005C3F07">
        <w:rPr>
          <w:rFonts w:ascii="Adelle Sans Lt" w:hAnsi="Adelle Sans Lt"/>
          <w:color w:val="404040"/>
          <w:sz w:val="24"/>
          <w:szCs w:val="24"/>
        </w:rPr>
        <w:t xml:space="preserve">e will </w:t>
      </w:r>
      <w:r w:rsidR="00805DD7" w:rsidRPr="005C3F07">
        <w:rPr>
          <w:rFonts w:ascii="Adelle Sans Lt" w:hAnsi="Adelle Sans Lt"/>
          <w:color w:val="404040"/>
          <w:sz w:val="24"/>
          <w:szCs w:val="24"/>
        </w:rPr>
        <w:t xml:space="preserve">therefore </w:t>
      </w:r>
      <w:r w:rsidR="0045366F" w:rsidRPr="005C3F07">
        <w:rPr>
          <w:rFonts w:ascii="Adelle Sans Lt" w:hAnsi="Adelle Sans Lt"/>
          <w:color w:val="404040"/>
          <w:sz w:val="24"/>
          <w:szCs w:val="24"/>
        </w:rPr>
        <w:t>publish the statement below on our website at the beginning of October</w:t>
      </w:r>
      <w:r w:rsidR="00805DD7" w:rsidRPr="005C3F07">
        <w:rPr>
          <w:rFonts w:ascii="Adelle Sans Lt" w:hAnsi="Adelle Sans Lt"/>
          <w:color w:val="404040"/>
          <w:sz w:val="24"/>
          <w:szCs w:val="24"/>
        </w:rPr>
        <w:t xml:space="preserve"> 2024.</w:t>
      </w:r>
      <w:r w:rsidR="0045366F" w:rsidRPr="005C3F07">
        <w:rPr>
          <w:rFonts w:ascii="Adelle Sans Lt" w:hAnsi="Adelle Sans Lt"/>
          <w:color w:val="404040"/>
          <w:sz w:val="24"/>
          <w:szCs w:val="24"/>
        </w:rPr>
        <w:t xml:space="preserve"> </w:t>
      </w:r>
      <w:r w:rsidRPr="005C3F07">
        <w:rPr>
          <w:rFonts w:ascii="Adelle Sans Lt" w:hAnsi="Adelle Sans Lt"/>
          <w:color w:val="404040"/>
          <w:sz w:val="24"/>
          <w:szCs w:val="24"/>
        </w:rPr>
        <w:t xml:space="preserve"> </w:t>
      </w:r>
    </w:p>
    <w:p w14:paraId="4948B18E" w14:textId="77777777" w:rsidR="0056322C" w:rsidRPr="005C3F07" w:rsidRDefault="0056322C" w:rsidP="006C5ABE">
      <w:pPr>
        <w:spacing w:after="0" w:line="240" w:lineRule="auto"/>
        <w:jc w:val="both"/>
        <w:rPr>
          <w:rFonts w:ascii="Adelle Sans Lt" w:eastAsia="Adelle Sans Lt" w:hAnsi="Adelle Sans Lt" w:cs="Times New Roman"/>
          <w:color w:val="404040"/>
          <w:sz w:val="24"/>
          <w:szCs w:val="24"/>
        </w:rPr>
      </w:pPr>
    </w:p>
    <w:p w14:paraId="04D07639" w14:textId="77777777" w:rsidR="0056322C" w:rsidRPr="005C3F07" w:rsidRDefault="0056322C" w:rsidP="006C5ABE">
      <w:pPr>
        <w:spacing w:after="0" w:line="240" w:lineRule="auto"/>
        <w:jc w:val="both"/>
        <w:rPr>
          <w:rFonts w:ascii="Adelle Sans Lt" w:hAnsi="Adelle Sans Lt"/>
          <w:b/>
          <w:color w:val="404040"/>
          <w:sz w:val="24"/>
          <w:szCs w:val="24"/>
        </w:rPr>
      </w:pPr>
      <w:r w:rsidRPr="005C3F07">
        <w:rPr>
          <w:rFonts w:ascii="Adelle Sans Lt" w:hAnsi="Adelle Sans Lt"/>
          <w:b/>
          <w:color w:val="404040"/>
          <w:sz w:val="24"/>
          <w:szCs w:val="24"/>
        </w:rPr>
        <w:t>Annual Statement on Research Integrity, 202</w:t>
      </w:r>
      <w:r w:rsidR="00805DD7" w:rsidRPr="005C3F07">
        <w:rPr>
          <w:rFonts w:ascii="Adelle Sans Lt" w:hAnsi="Adelle Sans Lt"/>
          <w:b/>
          <w:color w:val="404040"/>
          <w:sz w:val="24"/>
          <w:szCs w:val="24"/>
        </w:rPr>
        <w:t>3</w:t>
      </w:r>
      <w:r w:rsidRPr="005C3F07">
        <w:rPr>
          <w:rFonts w:ascii="Adelle Sans Lt" w:hAnsi="Adelle Sans Lt"/>
          <w:b/>
          <w:color w:val="404040"/>
          <w:sz w:val="24"/>
          <w:szCs w:val="24"/>
        </w:rPr>
        <w:t>/20</w:t>
      </w:r>
      <w:r w:rsidR="00805DD7" w:rsidRPr="005C3F07">
        <w:rPr>
          <w:rFonts w:ascii="Adelle Sans Lt" w:hAnsi="Adelle Sans Lt"/>
          <w:b/>
          <w:color w:val="404040"/>
          <w:sz w:val="24"/>
          <w:szCs w:val="24"/>
        </w:rPr>
        <w:t>24</w:t>
      </w:r>
    </w:p>
    <w:p w14:paraId="4C540FD2" w14:textId="77777777" w:rsidR="00E34F8F" w:rsidRPr="005C3F07" w:rsidRDefault="00E34F8F"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The Resolution Foundation expects all researchers to observe the highest standards of integrity in the conduct of their research. Research carried out with a high level of integrity is more trustworthy – and trusted – by other researchers, by users of research and by society in general</w:t>
      </w:r>
      <w:r w:rsidR="007A6385" w:rsidRPr="005C3F07">
        <w:rPr>
          <w:rFonts w:ascii="Adelle Sans Lt" w:hAnsi="Adelle Sans Lt"/>
          <w:color w:val="404040"/>
          <w:sz w:val="24"/>
          <w:szCs w:val="24"/>
        </w:rPr>
        <w:t xml:space="preserve">, and it </w:t>
      </w:r>
      <w:r w:rsidRPr="005C3F07">
        <w:rPr>
          <w:rFonts w:ascii="Adelle Sans Lt" w:hAnsi="Adelle Sans Lt"/>
          <w:color w:val="404040"/>
          <w:sz w:val="24"/>
          <w:szCs w:val="24"/>
        </w:rPr>
        <w:t xml:space="preserve">upholds values of honesty, rigour, </w:t>
      </w:r>
      <w:proofErr w:type="gramStart"/>
      <w:r w:rsidRPr="005C3F07">
        <w:rPr>
          <w:rFonts w:ascii="Adelle Sans Lt" w:hAnsi="Adelle Sans Lt"/>
          <w:color w:val="404040"/>
          <w:sz w:val="24"/>
          <w:szCs w:val="24"/>
        </w:rPr>
        <w:t>transparency</w:t>
      </w:r>
      <w:proofErr w:type="gramEnd"/>
      <w:r w:rsidRPr="005C3F07">
        <w:rPr>
          <w:rFonts w:ascii="Adelle Sans Lt" w:hAnsi="Adelle Sans Lt"/>
          <w:color w:val="404040"/>
          <w:sz w:val="24"/>
          <w:szCs w:val="24"/>
        </w:rPr>
        <w:t xml:space="preserve"> and open communication, as well as care and respect for those involved in research</w:t>
      </w:r>
      <w:r w:rsidR="00F469E9" w:rsidRPr="005C3F07">
        <w:rPr>
          <w:rFonts w:ascii="Adelle Sans Lt" w:hAnsi="Adelle Sans Lt"/>
          <w:color w:val="404040"/>
          <w:sz w:val="24"/>
          <w:szCs w:val="24"/>
        </w:rPr>
        <w:t>,</w:t>
      </w:r>
      <w:r w:rsidRPr="005C3F07">
        <w:rPr>
          <w:rFonts w:ascii="Adelle Sans Lt" w:hAnsi="Adelle Sans Lt"/>
          <w:color w:val="404040"/>
          <w:sz w:val="24"/>
          <w:szCs w:val="24"/>
        </w:rPr>
        <w:t xml:space="preserve"> and accountability for a positive research environment. These values, and the behaviours they instil, are central to a healthy research culture, and form the basis of the Foundation’s policy and practice in this area.</w:t>
      </w:r>
    </w:p>
    <w:p w14:paraId="4FEFBE16" w14:textId="77777777" w:rsidR="00E34F8F" w:rsidRPr="005C3F07" w:rsidRDefault="00E34F8F" w:rsidP="006C5ABE">
      <w:pPr>
        <w:pStyle w:val="ListParagraph"/>
        <w:spacing w:after="0" w:line="240" w:lineRule="auto"/>
        <w:jc w:val="both"/>
        <w:rPr>
          <w:rFonts w:ascii="Adelle Sans Lt" w:hAnsi="Adelle Sans Lt"/>
          <w:color w:val="404040"/>
          <w:sz w:val="24"/>
          <w:szCs w:val="24"/>
        </w:rPr>
      </w:pPr>
    </w:p>
    <w:p w14:paraId="3B5C20D1" w14:textId="77777777" w:rsidR="00E34F8F" w:rsidRPr="005C3F07" w:rsidRDefault="00E34F8F"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The Foundation, like the research community generally, is overwhelmingly motivated by these values. However, systemic pressures, such as procedural deficits or incentives offered to researchers and research organisations, can make it difficult to uphold these principles. The purpose of this annual statement is to c</w:t>
      </w:r>
      <w:r w:rsidR="007A6385" w:rsidRPr="005C3F07">
        <w:rPr>
          <w:rFonts w:ascii="Adelle Sans Lt" w:hAnsi="Adelle Sans Lt"/>
          <w:color w:val="404040"/>
          <w:sz w:val="24"/>
          <w:szCs w:val="24"/>
        </w:rPr>
        <w:t xml:space="preserve">onfirm </w:t>
      </w:r>
      <w:r w:rsidRPr="005C3F07">
        <w:rPr>
          <w:rFonts w:ascii="Adelle Sans Lt" w:hAnsi="Adelle Sans Lt"/>
          <w:color w:val="404040"/>
          <w:sz w:val="24"/>
          <w:szCs w:val="24"/>
        </w:rPr>
        <w:t xml:space="preserve">the standard all Foundation researchers are expected to uphold, the procedures in place to ensure researchers observe the highest standards of integrity in the conduct of all Foundation research, and to highlight any instances of research misconduct investigated during the year. </w:t>
      </w:r>
    </w:p>
    <w:p w14:paraId="5863CF0F" w14:textId="77777777" w:rsidR="00E34F8F" w:rsidRPr="005C3F07" w:rsidRDefault="00E34F8F" w:rsidP="006C5ABE">
      <w:pPr>
        <w:spacing w:after="0" w:line="240" w:lineRule="auto"/>
        <w:jc w:val="both"/>
        <w:rPr>
          <w:rFonts w:ascii="Adelle Sans Lt" w:hAnsi="Adelle Sans Lt"/>
          <w:color w:val="404040"/>
          <w:sz w:val="24"/>
          <w:szCs w:val="24"/>
        </w:rPr>
      </w:pPr>
    </w:p>
    <w:p w14:paraId="080B6A30" w14:textId="77777777" w:rsidR="00D24EE7" w:rsidRPr="005C3F07" w:rsidRDefault="004718C8" w:rsidP="006C5ABE">
      <w:pPr>
        <w:spacing w:after="0" w:line="240" w:lineRule="auto"/>
        <w:jc w:val="both"/>
        <w:rPr>
          <w:rFonts w:ascii="Adelle Sans Lt" w:hAnsi="Adelle Sans Lt"/>
          <w:b/>
          <w:color w:val="404040"/>
          <w:sz w:val="24"/>
          <w:szCs w:val="24"/>
        </w:rPr>
      </w:pPr>
      <w:r w:rsidRPr="005C3F07">
        <w:rPr>
          <w:rFonts w:ascii="Adelle Sans Lt" w:hAnsi="Adelle Sans Lt"/>
          <w:b/>
          <w:color w:val="404040"/>
          <w:sz w:val="24"/>
          <w:szCs w:val="24"/>
        </w:rPr>
        <w:t>S</w:t>
      </w:r>
      <w:r w:rsidR="00D24EE7" w:rsidRPr="005C3F07">
        <w:rPr>
          <w:rFonts w:ascii="Adelle Sans Lt" w:hAnsi="Adelle Sans Lt"/>
          <w:b/>
          <w:color w:val="404040"/>
          <w:sz w:val="24"/>
          <w:szCs w:val="24"/>
        </w:rPr>
        <w:t xml:space="preserve">ummary of actions and activities that have been undertaken to support and strengthen understanding and the application of research integrity </w:t>
      </w:r>
      <w:proofErr w:type="gramStart"/>
      <w:r w:rsidR="00D24EE7" w:rsidRPr="005C3F07">
        <w:rPr>
          <w:rFonts w:ascii="Adelle Sans Lt" w:hAnsi="Adelle Sans Lt"/>
          <w:b/>
          <w:color w:val="404040"/>
          <w:sz w:val="24"/>
          <w:szCs w:val="24"/>
        </w:rPr>
        <w:t>issues</w:t>
      </w:r>
      <w:proofErr w:type="gramEnd"/>
      <w:r w:rsidR="00D24EE7" w:rsidRPr="005C3F07">
        <w:rPr>
          <w:rFonts w:ascii="Adelle Sans Lt" w:hAnsi="Adelle Sans Lt"/>
          <w:b/>
          <w:color w:val="404040"/>
          <w:sz w:val="24"/>
          <w:szCs w:val="24"/>
        </w:rPr>
        <w:t xml:space="preserve"> </w:t>
      </w:r>
    </w:p>
    <w:p w14:paraId="38F570F4" w14:textId="77777777" w:rsidR="00B91317" w:rsidRPr="005C3F07" w:rsidRDefault="00805DD7"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The</w:t>
      </w:r>
      <w:r w:rsidR="009B7CBA" w:rsidRPr="005C3F07">
        <w:rPr>
          <w:rFonts w:ascii="Adelle Sans Lt" w:hAnsi="Adelle Sans Lt"/>
          <w:color w:val="404040"/>
          <w:sz w:val="24"/>
          <w:szCs w:val="24"/>
        </w:rPr>
        <w:t xml:space="preserve"> Foundation</w:t>
      </w:r>
      <w:r w:rsidR="00411831" w:rsidRPr="005C3F07">
        <w:rPr>
          <w:rFonts w:ascii="Adelle Sans Lt" w:hAnsi="Adelle Sans Lt"/>
          <w:color w:val="404040"/>
          <w:sz w:val="24"/>
          <w:szCs w:val="24"/>
        </w:rPr>
        <w:t xml:space="preserve">’s </w:t>
      </w:r>
      <w:r w:rsidR="004718C8" w:rsidRPr="005C3F07">
        <w:rPr>
          <w:rFonts w:ascii="Adelle Sans Lt" w:hAnsi="Adelle Sans Lt"/>
          <w:color w:val="404040"/>
          <w:sz w:val="24"/>
          <w:szCs w:val="24"/>
        </w:rPr>
        <w:t>Research Procedure and Data Management Policies</w:t>
      </w:r>
      <w:r w:rsidR="001268AD" w:rsidRPr="005C3F07">
        <w:rPr>
          <w:rFonts w:ascii="Adelle Sans Lt" w:hAnsi="Adelle Sans Lt"/>
          <w:color w:val="404040"/>
          <w:sz w:val="24"/>
          <w:szCs w:val="24"/>
        </w:rPr>
        <w:t xml:space="preserve"> </w:t>
      </w:r>
      <w:r w:rsidR="00411831" w:rsidRPr="005C3F07">
        <w:rPr>
          <w:rFonts w:ascii="Adelle Sans Lt" w:hAnsi="Adelle Sans Lt"/>
          <w:color w:val="404040"/>
          <w:sz w:val="24"/>
          <w:szCs w:val="24"/>
        </w:rPr>
        <w:t>codify</w:t>
      </w:r>
      <w:r w:rsidR="00B91317" w:rsidRPr="005C3F07">
        <w:rPr>
          <w:rFonts w:ascii="Adelle Sans Lt" w:hAnsi="Adelle Sans Lt"/>
          <w:color w:val="404040"/>
          <w:sz w:val="24"/>
          <w:szCs w:val="24"/>
        </w:rPr>
        <w:t xml:space="preserve"> our commitment to meeting the standards outlined in </w:t>
      </w:r>
      <w:hyperlink r:id="rId8" w:history="1">
        <w:r w:rsidR="00B91317" w:rsidRPr="005C3F07">
          <w:rPr>
            <w:rFonts w:ascii="Adelle Sans Lt" w:hAnsi="Adelle Sans Lt"/>
            <w:color w:val="404040"/>
            <w:sz w:val="24"/>
            <w:szCs w:val="24"/>
          </w:rPr>
          <w:t>the UKRI’s Concordat on Open Data</w:t>
        </w:r>
      </w:hyperlink>
      <w:r w:rsidR="00B91317" w:rsidRPr="005C3F07">
        <w:rPr>
          <w:rFonts w:ascii="Adelle Sans Lt" w:hAnsi="Adelle Sans Lt"/>
          <w:color w:val="404040"/>
          <w:sz w:val="24"/>
          <w:szCs w:val="24"/>
        </w:rPr>
        <w:t xml:space="preserve">, the </w:t>
      </w:r>
      <w:hyperlink r:id="rId9" w:history="1">
        <w:r w:rsidR="00B91317" w:rsidRPr="005C3F07">
          <w:rPr>
            <w:rFonts w:ascii="Adelle Sans Lt" w:hAnsi="Adelle Sans Lt"/>
            <w:color w:val="404040"/>
            <w:sz w:val="24"/>
            <w:szCs w:val="24"/>
          </w:rPr>
          <w:t>UKRI’s Policy and Guidelines on Governance of Good Research Conduct</w:t>
        </w:r>
      </w:hyperlink>
      <w:r w:rsidR="00B91317" w:rsidRPr="005C3F07">
        <w:rPr>
          <w:rFonts w:ascii="Adelle Sans Lt" w:hAnsi="Adelle Sans Lt"/>
          <w:color w:val="404040"/>
          <w:sz w:val="24"/>
          <w:szCs w:val="24"/>
        </w:rPr>
        <w:t xml:space="preserve">, the </w:t>
      </w:r>
      <w:hyperlink r:id="rId10" w:history="1">
        <w:r w:rsidR="00B91317" w:rsidRPr="005C3F07">
          <w:rPr>
            <w:rFonts w:ascii="Adelle Sans Lt" w:hAnsi="Adelle Sans Lt"/>
            <w:color w:val="404040"/>
            <w:sz w:val="24"/>
            <w:szCs w:val="24"/>
          </w:rPr>
          <w:t>UK Universities Concordant for Research Integrity</w:t>
        </w:r>
      </w:hyperlink>
      <w:r w:rsidR="00B91317" w:rsidRPr="005C3F07">
        <w:rPr>
          <w:rFonts w:ascii="Adelle Sans Lt" w:hAnsi="Adelle Sans Lt"/>
          <w:color w:val="404040"/>
          <w:sz w:val="24"/>
          <w:szCs w:val="24"/>
        </w:rPr>
        <w:t xml:space="preserve"> and </w:t>
      </w:r>
      <w:hyperlink r:id="rId11" w:history="1">
        <w:r w:rsidR="00B91317" w:rsidRPr="005C3F07">
          <w:rPr>
            <w:rFonts w:ascii="Adelle Sans Lt" w:hAnsi="Adelle Sans Lt"/>
            <w:color w:val="404040"/>
            <w:sz w:val="24"/>
            <w:szCs w:val="24"/>
          </w:rPr>
          <w:t>the FAIR principles</w:t>
        </w:r>
      </w:hyperlink>
      <w:r w:rsidR="00B91317" w:rsidRPr="005C3F07">
        <w:rPr>
          <w:rFonts w:ascii="Adelle Sans Lt" w:hAnsi="Adelle Sans Lt"/>
          <w:color w:val="404040"/>
          <w:sz w:val="24"/>
          <w:szCs w:val="24"/>
        </w:rPr>
        <w:t xml:space="preserve">. We also support the principles outlined in </w:t>
      </w:r>
      <w:hyperlink r:id="rId12" w:history="1">
        <w:r w:rsidR="00B91317" w:rsidRPr="005C3F07">
          <w:rPr>
            <w:rFonts w:ascii="Adelle Sans Lt" w:hAnsi="Adelle Sans Lt"/>
            <w:color w:val="404040"/>
            <w:sz w:val="24"/>
            <w:szCs w:val="24"/>
          </w:rPr>
          <w:t>the Economic and Social Research Council (ESRC) Research Data Policy</w:t>
        </w:r>
      </w:hyperlink>
      <w:r w:rsidR="00B91317" w:rsidRPr="005C3F07">
        <w:rPr>
          <w:rFonts w:ascii="Adelle Sans Lt" w:hAnsi="Adelle Sans Lt"/>
          <w:color w:val="404040"/>
          <w:sz w:val="24"/>
          <w:szCs w:val="24"/>
        </w:rPr>
        <w:t xml:space="preserve"> (July 2021), the guidelines and principles set out in the </w:t>
      </w:r>
      <w:hyperlink r:id="rId13" w:history="1">
        <w:r w:rsidR="00B91317" w:rsidRPr="005C3F07">
          <w:rPr>
            <w:rFonts w:ascii="Adelle Sans Lt" w:hAnsi="Adelle Sans Lt"/>
            <w:color w:val="404040"/>
            <w:sz w:val="24"/>
            <w:szCs w:val="24"/>
          </w:rPr>
          <w:t>Social Policy Association’s Guidelines on Research Ethics</w:t>
        </w:r>
      </w:hyperlink>
      <w:r w:rsidR="00B91317" w:rsidRPr="005C3F07">
        <w:rPr>
          <w:rFonts w:ascii="Adelle Sans Lt" w:hAnsi="Adelle Sans Lt"/>
          <w:color w:val="404040"/>
          <w:sz w:val="24"/>
          <w:szCs w:val="24"/>
        </w:rPr>
        <w:t xml:space="preserve">, the </w:t>
      </w:r>
      <w:hyperlink r:id="rId14" w:history="1">
        <w:r w:rsidR="00B91317" w:rsidRPr="005C3F07">
          <w:rPr>
            <w:rFonts w:ascii="Adelle Sans Lt" w:hAnsi="Adelle Sans Lt"/>
            <w:color w:val="404040"/>
            <w:sz w:val="24"/>
            <w:szCs w:val="24"/>
          </w:rPr>
          <w:t>Social Research Association’s Research Ethics Guidance</w:t>
        </w:r>
      </w:hyperlink>
      <w:r w:rsidR="00B91317" w:rsidRPr="005C3F07">
        <w:rPr>
          <w:rFonts w:ascii="Adelle Sans Lt" w:hAnsi="Adelle Sans Lt"/>
          <w:color w:val="404040"/>
          <w:sz w:val="24"/>
          <w:szCs w:val="24"/>
        </w:rPr>
        <w:t xml:space="preserve">,  </w:t>
      </w:r>
      <w:hyperlink r:id="rId15" w:history="1">
        <w:r w:rsidR="00B91317" w:rsidRPr="005C3F07">
          <w:rPr>
            <w:rFonts w:ascii="Adelle Sans Lt" w:hAnsi="Adelle Sans Lt"/>
            <w:color w:val="404040"/>
            <w:sz w:val="24"/>
            <w:szCs w:val="24"/>
          </w:rPr>
          <w:t>the UK Data Service</w:t>
        </w:r>
      </w:hyperlink>
      <w:r w:rsidR="00B91317" w:rsidRPr="005C3F07">
        <w:rPr>
          <w:rFonts w:ascii="Adelle Sans Lt" w:hAnsi="Adelle Sans Lt"/>
          <w:color w:val="404040"/>
          <w:sz w:val="24"/>
          <w:szCs w:val="24"/>
        </w:rPr>
        <w:t xml:space="preserve"> guidelines on managing and sharing data, and the </w:t>
      </w:r>
      <w:hyperlink r:id="rId16" w:history="1">
        <w:r w:rsidR="00B91317" w:rsidRPr="005C3F07">
          <w:rPr>
            <w:rFonts w:ascii="Adelle Sans Lt" w:hAnsi="Adelle Sans Lt"/>
            <w:color w:val="404040"/>
            <w:sz w:val="24"/>
            <w:szCs w:val="24"/>
          </w:rPr>
          <w:t>Concordat for Engaging the Public with Research</w:t>
        </w:r>
      </w:hyperlink>
      <w:r w:rsidR="00B91317" w:rsidRPr="005C3F07">
        <w:rPr>
          <w:rFonts w:ascii="Adelle Sans Lt" w:hAnsi="Adelle Sans Lt"/>
          <w:color w:val="404040"/>
          <w:sz w:val="24"/>
          <w:szCs w:val="24"/>
        </w:rPr>
        <w:t xml:space="preserve">. </w:t>
      </w:r>
    </w:p>
    <w:p w14:paraId="3AFB1F5A" w14:textId="77777777" w:rsidR="007A6385" w:rsidRPr="005C3F07" w:rsidRDefault="007A6385" w:rsidP="006C5ABE">
      <w:pPr>
        <w:spacing w:after="0" w:line="240" w:lineRule="auto"/>
        <w:jc w:val="both"/>
        <w:rPr>
          <w:rFonts w:ascii="Adelle Sans Lt" w:hAnsi="Adelle Sans Lt"/>
          <w:color w:val="404040"/>
          <w:sz w:val="24"/>
          <w:szCs w:val="24"/>
        </w:rPr>
      </w:pPr>
    </w:p>
    <w:p w14:paraId="4EEE89F3" w14:textId="77777777" w:rsidR="00875917" w:rsidRPr="005C3F07" w:rsidRDefault="00875917"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 xml:space="preserve">Our Research Procedure and Data Management framework has been designed to assimilate the full range of our obligations under these guidelines into our policies and procedures, and to clarify the responsibilities of Foundation researchers. </w:t>
      </w:r>
      <w:r w:rsidR="000151FA" w:rsidRPr="005C3F07">
        <w:rPr>
          <w:rFonts w:ascii="Adelle Sans Lt" w:hAnsi="Adelle Sans Lt"/>
          <w:color w:val="404040"/>
          <w:sz w:val="24"/>
          <w:szCs w:val="24"/>
        </w:rPr>
        <w:t>The Foundation is fully aware that putting these policies into practice is something that require</w:t>
      </w:r>
      <w:r w:rsidR="00046EC3" w:rsidRPr="005C3F07">
        <w:rPr>
          <w:rFonts w:ascii="Adelle Sans Lt" w:hAnsi="Adelle Sans Lt"/>
          <w:color w:val="404040"/>
          <w:sz w:val="24"/>
          <w:szCs w:val="24"/>
        </w:rPr>
        <w:t>s</w:t>
      </w:r>
      <w:r w:rsidR="000151FA" w:rsidRPr="005C3F07">
        <w:rPr>
          <w:rFonts w:ascii="Adelle Sans Lt" w:hAnsi="Adelle Sans Lt"/>
          <w:color w:val="404040"/>
          <w:sz w:val="24"/>
          <w:szCs w:val="24"/>
        </w:rPr>
        <w:t xml:space="preserve"> ongoing efforts across the organisation</w:t>
      </w:r>
      <w:r w:rsidR="008E6B98" w:rsidRPr="005C3F07">
        <w:rPr>
          <w:rFonts w:ascii="Adelle Sans Lt" w:hAnsi="Adelle Sans Lt"/>
          <w:color w:val="404040"/>
          <w:sz w:val="24"/>
          <w:szCs w:val="24"/>
        </w:rPr>
        <w:t>, and that is a collegial endeavour</w:t>
      </w:r>
      <w:r w:rsidR="000151FA" w:rsidRPr="005C3F07">
        <w:rPr>
          <w:rFonts w:ascii="Adelle Sans Lt" w:hAnsi="Adelle Sans Lt"/>
          <w:color w:val="404040"/>
          <w:sz w:val="24"/>
          <w:szCs w:val="24"/>
        </w:rPr>
        <w:t xml:space="preserve">. </w:t>
      </w:r>
      <w:r w:rsidR="009B7CBA" w:rsidRPr="005C3F07">
        <w:rPr>
          <w:rFonts w:ascii="Adelle Sans Lt" w:hAnsi="Adelle Sans Lt"/>
          <w:color w:val="404040"/>
          <w:sz w:val="24"/>
          <w:szCs w:val="24"/>
        </w:rPr>
        <w:t xml:space="preserve">During the year, we </w:t>
      </w:r>
      <w:r w:rsidR="0045366F" w:rsidRPr="005C3F07">
        <w:rPr>
          <w:rFonts w:ascii="Adelle Sans Lt" w:hAnsi="Adelle Sans Lt"/>
          <w:color w:val="404040"/>
          <w:sz w:val="24"/>
          <w:szCs w:val="24"/>
        </w:rPr>
        <w:t xml:space="preserve">continued to </w:t>
      </w:r>
      <w:r w:rsidRPr="005C3F07">
        <w:rPr>
          <w:rFonts w:ascii="Adelle Sans Lt" w:hAnsi="Adelle Sans Lt"/>
          <w:color w:val="404040"/>
          <w:sz w:val="24"/>
          <w:szCs w:val="24"/>
        </w:rPr>
        <w:t xml:space="preserve">ensure key </w:t>
      </w:r>
      <w:r w:rsidRPr="005C3F07">
        <w:rPr>
          <w:rFonts w:ascii="Adelle Sans Lt" w:hAnsi="Adelle Sans Lt"/>
          <w:color w:val="404040"/>
          <w:sz w:val="24"/>
          <w:szCs w:val="24"/>
        </w:rPr>
        <w:lastRenderedPageBreak/>
        <w:t xml:space="preserve">aspects of these standards are codified into our working practices, </w:t>
      </w:r>
      <w:r w:rsidR="00805DD7" w:rsidRPr="005C3F07">
        <w:rPr>
          <w:rFonts w:ascii="Adelle Sans Lt" w:hAnsi="Adelle Sans Lt"/>
          <w:color w:val="404040"/>
          <w:sz w:val="24"/>
          <w:szCs w:val="24"/>
        </w:rPr>
        <w:t xml:space="preserve">including expanding the range of reporting mechanisms available, </w:t>
      </w:r>
      <w:r w:rsidRPr="005C3F07">
        <w:rPr>
          <w:rFonts w:ascii="Adelle Sans Lt" w:hAnsi="Adelle Sans Lt"/>
          <w:color w:val="404040"/>
          <w:sz w:val="24"/>
          <w:szCs w:val="24"/>
        </w:rPr>
        <w:t xml:space="preserve">and </w:t>
      </w:r>
      <w:r w:rsidR="0045366F" w:rsidRPr="005C3F07">
        <w:rPr>
          <w:rFonts w:ascii="Adelle Sans Lt" w:hAnsi="Adelle Sans Lt"/>
          <w:color w:val="404040"/>
          <w:sz w:val="24"/>
          <w:szCs w:val="24"/>
        </w:rPr>
        <w:t>we</w:t>
      </w:r>
      <w:r w:rsidR="00805DD7" w:rsidRPr="005C3F07">
        <w:rPr>
          <w:rFonts w:ascii="Adelle Sans Lt" w:hAnsi="Adelle Sans Lt"/>
          <w:color w:val="404040"/>
          <w:sz w:val="24"/>
          <w:szCs w:val="24"/>
        </w:rPr>
        <w:t xml:space="preserve"> continued to</w:t>
      </w:r>
      <w:r w:rsidR="0045366F" w:rsidRPr="005C3F07">
        <w:rPr>
          <w:rFonts w:ascii="Adelle Sans Lt" w:hAnsi="Adelle Sans Lt"/>
          <w:color w:val="404040"/>
          <w:sz w:val="24"/>
          <w:szCs w:val="24"/>
        </w:rPr>
        <w:t xml:space="preserve"> provide</w:t>
      </w:r>
      <w:r w:rsidRPr="005C3F07">
        <w:rPr>
          <w:rFonts w:ascii="Adelle Sans Lt" w:hAnsi="Adelle Sans Lt"/>
          <w:color w:val="404040"/>
          <w:sz w:val="24"/>
          <w:szCs w:val="24"/>
        </w:rPr>
        <w:t xml:space="preserve"> appropriate training and guidance to the research team.</w:t>
      </w:r>
    </w:p>
    <w:p w14:paraId="302F0958" w14:textId="77777777" w:rsidR="00875917" w:rsidRPr="005C3F07" w:rsidRDefault="00875917" w:rsidP="006C5ABE">
      <w:pPr>
        <w:spacing w:after="0" w:line="240" w:lineRule="auto"/>
        <w:jc w:val="both"/>
        <w:rPr>
          <w:rFonts w:ascii="Adelle Sans Lt" w:hAnsi="Adelle Sans Lt"/>
          <w:color w:val="404040"/>
          <w:sz w:val="24"/>
          <w:szCs w:val="24"/>
        </w:rPr>
      </w:pPr>
    </w:p>
    <w:p w14:paraId="1786352F" w14:textId="77777777" w:rsidR="007A6385" w:rsidRPr="005C3F07" w:rsidRDefault="007A6385"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 xml:space="preserve">The Foundation expects all researchers conducting research on Foundation premises or using Foundation facilities to observe the commitments outlined in the Research Integrity Policy. Researchers must also comply with the policies and procedures detailed in the Research Policy Framework, and other relevant internal guidance that may be communicated from time to time. </w:t>
      </w:r>
    </w:p>
    <w:p w14:paraId="12B3191B" w14:textId="77777777" w:rsidR="007A6385" w:rsidRPr="005C3F07" w:rsidRDefault="007A6385" w:rsidP="006C5ABE">
      <w:pPr>
        <w:spacing w:after="0" w:line="240" w:lineRule="auto"/>
        <w:jc w:val="both"/>
        <w:rPr>
          <w:rFonts w:ascii="Adelle Sans Lt" w:hAnsi="Adelle Sans Lt"/>
          <w:color w:val="404040"/>
          <w:sz w:val="24"/>
          <w:szCs w:val="24"/>
        </w:rPr>
      </w:pPr>
    </w:p>
    <w:p w14:paraId="7BD6C9CB" w14:textId="77777777" w:rsidR="00875917" w:rsidRPr="005C3F07" w:rsidRDefault="009B7CBA" w:rsidP="006C5ABE">
      <w:pPr>
        <w:spacing w:after="0" w:line="240" w:lineRule="auto"/>
        <w:jc w:val="both"/>
        <w:rPr>
          <w:rFonts w:ascii="Adelle Sans Lt" w:hAnsi="Adelle Sans Lt"/>
          <w:b/>
          <w:color w:val="404040"/>
          <w:sz w:val="24"/>
          <w:szCs w:val="24"/>
        </w:rPr>
      </w:pPr>
      <w:r w:rsidRPr="005C3F07">
        <w:rPr>
          <w:rFonts w:ascii="Adelle Sans Lt" w:hAnsi="Adelle Sans Lt"/>
          <w:b/>
          <w:color w:val="404040"/>
          <w:sz w:val="24"/>
          <w:szCs w:val="24"/>
        </w:rPr>
        <w:t xml:space="preserve">Procedure for dealing with allegations of </w:t>
      </w:r>
      <w:proofErr w:type="gramStart"/>
      <w:r w:rsidRPr="005C3F07">
        <w:rPr>
          <w:rFonts w:ascii="Adelle Sans Lt" w:hAnsi="Adelle Sans Lt"/>
          <w:b/>
          <w:color w:val="404040"/>
          <w:sz w:val="24"/>
          <w:szCs w:val="24"/>
        </w:rPr>
        <w:t>misconduct</w:t>
      </w:r>
      <w:proofErr w:type="gramEnd"/>
      <w:r w:rsidRPr="005C3F07">
        <w:rPr>
          <w:rFonts w:ascii="Adelle Sans Lt" w:hAnsi="Adelle Sans Lt"/>
          <w:b/>
          <w:color w:val="404040"/>
          <w:sz w:val="24"/>
          <w:szCs w:val="24"/>
        </w:rPr>
        <w:t xml:space="preserve"> </w:t>
      </w:r>
    </w:p>
    <w:p w14:paraId="7A08584B" w14:textId="77777777" w:rsidR="008E6B98" w:rsidRPr="005C3F07" w:rsidRDefault="00875917"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The Foundation is committed to ensuring that all allegations of Misconduct in Research are assessed and, where the Chief Executive / Deputy Chief Executive determine that further investigation is required</w:t>
      </w:r>
      <w:r w:rsidR="009B7CBA" w:rsidRPr="005C3F07">
        <w:rPr>
          <w:rFonts w:ascii="Adelle Sans Lt" w:hAnsi="Adelle Sans Lt"/>
          <w:color w:val="404040"/>
          <w:sz w:val="24"/>
          <w:szCs w:val="24"/>
        </w:rPr>
        <w:t>,</w:t>
      </w:r>
      <w:r w:rsidRPr="005C3F07">
        <w:rPr>
          <w:rFonts w:ascii="Adelle Sans Lt" w:hAnsi="Adelle Sans Lt"/>
          <w:color w:val="404040"/>
          <w:sz w:val="24"/>
          <w:szCs w:val="24"/>
        </w:rPr>
        <w:t xml:space="preserve"> investigated thoroughly, fairly, in a timely manner, and with care and sensitivity in accordance with the Procedure outlined in the Research Misconduct Policy. </w:t>
      </w:r>
      <w:r w:rsidR="008E6B98" w:rsidRPr="005C3F07">
        <w:rPr>
          <w:rFonts w:ascii="Adelle Sans Lt" w:hAnsi="Adelle Sans Lt"/>
          <w:color w:val="404040"/>
          <w:sz w:val="24"/>
          <w:szCs w:val="24"/>
        </w:rPr>
        <w:t xml:space="preserve">The Foundation recognises that academic freedom is fundamental to the production of excellent research, and this means that responsibility for ensuring that no misconduct occurs rests primarily with individual researchers. All employees are aware of their responsibility to report any well-founded allegations of Misconduct in Research, whether this has been witnessed, or is suspected. </w:t>
      </w:r>
    </w:p>
    <w:p w14:paraId="2D3036A6" w14:textId="77777777" w:rsidR="008E6B98" w:rsidRPr="005C3F07" w:rsidRDefault="008E6B98" w:rsidP="006C5ABE">
      <w:pPr>
        <w:spacing w:after="0" w:line="240" w:lineRule="auto"/>
        <w:jc w:val="both"/>
        <w:rPr>
          <w:rFonts w:ascii="Adelle Sans Lt" w:hAnsi="Adelle Sans Lt"/>
          <w:color w:val="404040"/>
          <w:sz w:val="24"/>
          <w:szCs w:val="24"/>
        </w:rPr>
      </w:pPr>
    </w:p>
    <w:p w14:paraId="2DAD4C75" w14:textId="77777777" w:rsidR="009B7CBA" w:rsidRPr="005C3F07" w:rsidRDefault="00875917"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 xml:space="preserve">In research, situations may arise that might present as misconduct but are the result of either a misunderstanding or a dispute between individuals. It may be possible to mediate or resolve such differences and this will be considered and explored where appropriate. Formal investigation procedures will only be instigated if the informal route is inappropriate due to the seriousness of the allegation, or where mediation or arbitration has been refused or proved unsuccessful. </w:t>
      </w:r>
    </w:p>
    <w:p w14:paraId="6C5AE949" w14:textId="77777777" w:rsidR="009B7CBA" w:rsidRPr="005C3F07" w:rsidRDefault="009B7CBA" w:rsidP="006C5ABE">
      <w:pPr>
        <w:spacing w:after="0" w:line="240" w:lineRule="auto"/>
        <w:jc w:val="both"/>
        <w:rPr>
          <w:rFonts w:ascii="Adelle Sans Lt" w:hAnsi="Adelle Sans Lt"/>
          <w:color w:val="404040"/>
          <w:sz w:val="24"/>
          <w:szCs w:val="24"/>
        </w:rPr>
      </w:pPr>
    </w:p>
    <w:p w14:paraId="76B48BFA" w14:textId="77777777" w:rsidR="009B7CBA" w:rsidRPr="005C3F07" w:rsidRDefault="009B7CBA" w:rsidP="006C5ABE">
      <w:pPr>
        <w:spacing w:after="0" w:line="240" w:lineRule="auto"/>
        <w:jc w:val="both"/>
        <w:rPr>
          <w:rFonts w:ascii="Adelle Sans Lt" w:hAnsi="Adelle Sans Lt"/>
          <w:color w:val="404040"/>
          <w:sz w:val="24"/>
          <w:szCs w:val="24"/>
        </w:rPr>
      </w:pPr>
      <w:r w:rsidRPr="005C3F07">
        <w:rPr>
          <w:rFonts w:ascii="Adelle Sans Lt" w:hAnsi="Adelle Sans Lt"/>
          <w:color w:val="404040"/>
          <w:sz w:val="24"/>
          <w:szCs w:val="24"/>
        </w:rPr>
        <w:t>During the period October 202</w:t>
      </w:r>
      <w:r w:rsidR="00805DD7" w:rsidRPr="005C3F07">
        <w:rPr>
          <w:rFonts w:ascii="Adelle Sans Lt" w:hAnsi="Adelle Sans Lt"/>
          <w:color w:val="404040"/>
          <w:sz w:val="24"/>
          <w:szCs w:val="24"/>
        </w:rPr>
        <w:t>3</w:t>
      </w:r>
      <w:r w:rsidRPr="005C3F07">
        <w:rPr>
          <w:rFonts w:ascii="Adelle Sans Lt" w:hAnsi="Adelle Sans Lt"/>
          <w:color w:val="404040"/>
          <w:sz w:val="24"/>
          <w:szCs w:val="24"/>
        </w:rPr>
        <w:t xml:space="preserve"> – September 20</w:t>
      </w:r>
      <w:r w:rsidR="00805DD7" w:rsidRPr="005C3F07">
        <w:rPr>
          <w:rFonts w:ascii="Adelle Sans Lt" w:hAnsi="Adelle Sans Lt"/>
          <w:color w:val="404040"/>
          <w:sz w:val="24"/>
          <w:szCs w:val="24"/>
        </w:rPr>
        <w:t>4</w:t>
      </w:r>
      <w:r w:rsidR="005D1CBA" w:rsidRPr="005C3F07">
        <w:rPr>
          <w:rFonts w:ascii="Adelle Sans Lt" w:hAnsi="Adelle Sans Lt"/>
          <w:color w:val="404040"/>
          <w:sz w:val="24"/>
          <w:szCs w:val="24"/>
        </w:rPr>
        <w:t>3</w:t>
      </w:r>
      <w:r w:rsidRPr="005C3F07">
        <w:rPr>
          <w:rFonts w:ascii="Adelle Sans Lt" w:hAnsi="Adelle Sans Lt"/>
          <w:color w:val="404040"/>
          <w:sz w:val="24"/>
          <w:szCs w:val="24"/>
        </w:rPr>
        <w:t xml:space="preserve"> no incidences of research misconduct were reported. </w:t>
      </w:r>
    </w:p>
    <w:bookmarkEnd w:id="0"/>
    <w:p w14:paraId="076AFCC5" w14:textId="77777777" w:rsidR="007A6385" w:rsidRPr="005C3F07" w:rsidRDefault="007A6385" w:rsidP="006C5ABE">
      <w:pPr>
        <w:spacing w:after="0" w:line="240" w:lineRule="auto"/>
        <w:jc w:val="both"/>
        <w:rPr>
          <w:rFonts w:ascii="Adelle Sans Lt" w:hAnsi="Adelle Sans Lt"/>
          <w:color w:val="404040"/>
          <w:sz w:val="24"/>
          <w:szCs w:val="24"/>
        </w:rPr>
      </w:pPr>
    </w:p>
    <w:sectPr w:rsidR="007A6385" w:rsidRPr="005C3F07" w:rsidSect="008C5A7E">
      <w:head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7D83" w14:textId="77777777" w:rsidR="00805DD7" w:rsidRDefault="00805DD7" w:rsidP="0006518D">
      <w:pPr>
        <w:spacing w:after="0" w:line="240" w:lineRule="auto"/>
      </w:pPr>
      <w:r>
        <w:separator/>
      </w:r>
    </w:p>
  </w:endnote>
  <w:endnote w:type="continuationSeparator" w:id="0">
    <w:p w14:paraId="4F39C122" w14:textId="77777777" w:rsidR="00805DD7" w:rsidRDefault="00805DD7" w:rsidP="0006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Sans Lt">
    <w:altName w:val="Calibri"/>
    <w:panose1 w:val="02000503000000020004"/>
    <w:charset w:val="00"/>
    <w:family w:val="modern"/>
    <w:notTrueType/>
    <w:pitch w:val="variable"/>
    <w:sig w:usb0="80000287" w:usb1="0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CA4A" w14:textId="77777777" w:rsidR="00805DD7" w:rsidRDefault="00805DD7" w:rsidP="0006518D">
      <w:pPr>
        <w:spacing w:after="0" w:line="240" w:lineRule="auto"/>
      </w:pPr>
      <w:r>
        <w:separator/>
      </w:r>
    </w:p>
  </w:footnote>
  <w:footnote w:type="continuationSeparator" w:id="0">
    <w:p w14:paraId="318555DC" w14:textId="77777777" w:rsidR="00805DD7" w:rsidRDefault="00805DD7" w:rsidP="0006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9DD0" w14:textId="4FFE0EDE" w:rsidR="00805DD7" w:rsidRPr="00365645" w:rsidRDefault="00365645" w:rsidP="00365645">
    <w:pPr>
      <w:pStyle w:val="Header"/>
    </w:pPr>
    <w:r w:rsidRPr="006F6B02">
      <w:rPr>
        <w:rFonts w:ascii="Adelle Sans Lt" w:eastAsia="Adelle Sans Lt" w:hAnsi="Adelle Sans Lt" w:cs="Times New Roman"/>
        <w:noProof/>
        <w:color w:val="404040"/>
        <w:sz w:val="24"/>
        <w:szCs w:val="24"/>
      </w:rPr>
      <w:drawing>
        <wp:anchor distT="0" distB="0" distL="114300" distR="114300" simplePos="0" relativeHeight="251659264" behindDoc="1" locked="0" layoutInCell="1" allowOverlap="1" wp14:anchorId="608D4CFD" wp14:editId="44B2D814">
          <wp:simplePos x="0" y="0"/>
          <wp:positionH relativeFrom="margin">
            <wp:align>right</wp:align>
          </wp:positionH>
          <wp:positionV relativeFrom="paragraph">
            <wp:posOffset>-10160</wp:posOffset>
          </wp:positionV>
          <wp:extent cx="1671955" cy="469265"/>
          <wp:effectExtent l="0" t="0" r="0" b="6985"/>
          <wp:wrapNone/>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t="28317" b="29579"/>
                  <a:stretch>
                    <a:fillRect/>
                  </a:stretch>
                </pic:blipFill>
                <pic:spPr bwMode="auto">
                  <a:xfrm>
                    <a:off x="0" y="0"/>
                    <a:ext cx="1671955"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C2E"/>
    <w:multiLevelType w:val="multilevel"/>
    <w:tmpl w:val="EF2A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7A7B"/>
    <w:multiLevelType w:val="hybridMultilevel"/>
    <w:tmpl w:val="1474FF8A"/>
    <w:lvl w:ilvl="0" w:tplc="05ACDE96">
      <w:start w:val="1"/>
      <w:numFmt w:val="bullet"/>
      <w:lvlText w:val="•"/>
      <w:lvlJc w:val="left"/>
      <w:pPr>
        <w:tabs>
          <w:tab w:val="num" w:pos="720"/>
        </w:tabs>
        <w:ind w:left="720" w:hanging="360"/>
      </w:pPr>
      <w:rPr>
        <w:rFonts w:ascii="Arial" w:hAnsi="Arial" w:hint="default"/>
      </w:rPr>
    </w:lvl>
    <w:lvl w:ilvl="1" w:tplc="E4566C92" w:tentative="1">
      <w:start w:val="1"/>
      <w:numFmt w:val="bullet"/>
      <w:lvlText w:val="•"/>
      <w:lvlJc w:val="left"/>
      <w:pPr>
        <w:tabs>
          <w:tab w:val="num" w:pos="1440"/>
        </w:tabs>
        <w:ind w:left="1440" w:hanging="360"/>
      </w:pPr>
      <w:rPr>
        <w:rFonts w:ascii="Arial" w:hAnsi="Arial" w:hint="default"/>
      </w:rPr>
    </w:lvl>
    <w:lvl w:ilvl="2" w:tplc="8B5E05E8" w:tentative="1">
      <w:start w:val="1"/>
      <w:numFmt w:val="bullet"/>
      <w:lvlText w:val="•"/>
      <w:lvlJc w:val="left"/>
      <w:pPr>
        <w:tabs>
          <w:tab w:val="num" w:pos="2160"/>
        </w:tabs>
        <w:ind w:left="2160" w:hanging="360"/>
      </w:pPr>
      <w:rPr>
        <w:rFonts w:ascii="Arial" w:hAnsi="Arial" w:hint="default"/>
      </w:rPr>
    </w:lvl>
    <w:lvl w:ilvl="3" w:tplc="CF9AD2F8" w:tentative="1">
      <w:start w:val="1"/>
      <w:numFmt w:val="bullet"/>
      <w:lvlText w:val="•"/>
      <w:lvlJc w:val="left"/>
      <w:pPr>
        <w:tabs>
          <w:tab w:val="num" w:pos="2880"/>
        </w:tabs>
        <w:ind w:left="2880" w:hanging="360"/>
      </w:pPr>
      <w:rPr>
        <w:rFonts w:ascii="Arial" w:hAnsi="Arial" w:hint="default"/>
      </w:rPr>
    </w:lvl>
    <w:lvl w:ilvl="4" w:tplc="01D80D26" w:tentative="1">
      <w:start w:val="1"/>
      <w:numFmt w:val="bullet"/>
      <w:lvlText w:val="•"/>
      <w:lvlJc w:val="left"/>
      <w:pPr>
        <w:tabs>
          <w:tab w:val="num" w:pos="3600"/>
        </w:tabs>
        <w:ind w:left="3600" w:hanging="360"/>
      </w:pPr>
      <w:rPr>
        <w:rFonts w:ascii="Arial" w:hAnsi="Arial" w:hint="default"/>
      </w:rPr>
    </w:lvl>
    <w:lvl w:ilvl="5" w:tplc="E7F0784A" w:tentative="1">
      <w:start w:val="1"/>
      <w:numFmt w:val="bullet"/>
      <w:lvlText w:val="•"/>
      <w:lvlJc w:val="left"/>
      <w:pPr>
        <w:tabs>
          <w:tab w:val="num" w:pos="4320"/>
        </w:tabs>
        <w:ind w:left="4320" w:hanging="360"/>
      </w:pPr>
      <w:rPr>
        <w:rFonts w:ascii="Arial" w:hAnsi="Arial" w:hint="default"/>
      </w:rPr>
    </w:lvl>
    <w:lvl w:ilvl="6" w:tplc="4E5EF63E" w:tentative="1">
      <w:start w:val="1"/>
      <w:numFmt w:val="bullet"/>
      <w:lvlText w:val="•"/>
      <w:lvlJc w:val="left"/>
      <w:pPr>
        <w:tabs>
          <w:tab w:val="num" w:pos="5040"/>
        </w:tabs>
        <w:ind w:left="5040" w:hanging="360"/>
      </w:pPr>
      <w:rPr>
        <w:rFonts w:ascii="Arial" w:hAnsi="Arial" w:hint="default"/>
      </w:rPr>
    </w:lvl>
    <w:lvl w:ilvl="7" w:tplc="40402970" w:tentative="1">
      <w:start w:val="1"/>
      <w:numFmt w:val="bullet"/>
      <w:lvlText w:val="•"/>
      <w:lvlJc w:val="left"/>
      <w:pPr>
        <w:tabs>
          <w:tab w:val="num" w:pos="5760"/>
        </w:tabs>
        <w:ind w:left="5760" w:hanging="360"/>
      </w:pPr>
      <w:rPr>
        <w:rFonts w:ascii="Arial" w:hAnsi="Arial" w:hint="default"/>
      </w:rPr>
    </w:lvl>
    <w:lvl w:ilvl="8" w:tplc="F2A89F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D701F"/>
    <w:multiLevelType w:val="hybridMultilevel"/>
    <w:tmpl w:val="63F40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A7CA5"/>
    <w:multiLevelType w:val="multilevel"/>
    <w:tmpl w:val="14FC8054"/>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24A40"/>
    <w:multiLevelType w:val="multilevel"/>
    <w:tmpl w:val="57C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8172E"/>
    <w:multiLevelType w:val="hybridMultilevel"/>
    <w:tmpl w:val="DD08FA9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29571B3B"/>
    <w:multiLevelType w:val="hybridMultilevel"/>
    <w:tmpl w:val="D8A6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5739D"/>
    <w:multiLevelType w:val="multilevel"/>
    <w:tmpl w:val="3788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468B9"/>
    <w:multiLevelType w:val="multilevel"/>
    <w:tmpl w:val="A52C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A94DB7"/>
    <w:multiLevelType w:val="hybridMultilevel"/>
    <w:tmpl w:val="399C972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94162A"/>
    <w:multiLevelType w:val="hybridMultilevel"/>
    <w:tmpl w:val="FF587CBE"/>
    <w:lvl w:ilvl="0" w:tplc="4AC86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904FC"/>
    <w:multiLevelType w:val="multilevel"/>
    <w:tmpl w:val="D9AC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449D8"/>
    <w:multiLevelType w:val="multilevel"/>
    <w:tmpl w:val="5DB4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7D3D36"/>
    <w:multiLevelType w:val="multilevel"/>
    <w:tmpl w:val="2670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9F19CB"/>
    <w:multiLevelType w:val="multilevel"/>
    <w:tmpl w:val="5912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C21F33"/>
    <w:multiLevelType w:val="hybridMultilevel"/>
    <w:tmpl w:val="3AECE966"/>
    <w:lvl w:ilvl="0" w:tplc="2C341D8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084491">
    <w:abstractNumId w:val="3"/>
  </w:num>
  <w:num w:numId="2" w16cid:durableId="154228301">
    <w:abstractNumId w:val="12"/>
  </w:num>
  <w:num w:numId="3" w16cid:durableId="1185704077">
    <w:abstractNumId w:val="14"/>
  </w:num>
  <w:num w:numId="4" w16cid:durableId="17435069">
    <w:abstractNumId w:val="8"/>
  </w:num>
  <w:num w:numId="5" w16cid:durableId="688412622">
    <w:abstractNumId w:val="11"/>
  </w:num>
  <w:num w:numId="6" w16cid:durableId="1371952286">
    <w:abstractNumId w:val="0"/>
  </w:num>
  <w:num w:numId="7" w16cid:durableId="1040520595">
    <w:abstractNumId w:val="7"/>
  </w:num>
  <w:num w:numId="8" w16cid:durableId="573593053">
    <w:abstractNumId w:val="13"/>
  </w:num>
  <w:num w:numId="9" w16cid:durableId="105081063">
    <w:abstractNumId w:val="4"/>
  </w:num>
  <w:num w:numId="10" w16cid:durableId="1356495710">
    <w:abstractNumId w:val="5"/>
  </w:num>
  <w:num w:numId="11" w16cid:durableId="1480224945">
    <w:abstractNumId w:val="6"/>
  </w:num>
  <w:num w:numId="12" w16cid:durableId="1586308342">
    <w:abstractNumId w:val="9"/>
  </w:num>
  <w:num w:numId="13" w16cid:durableId="1580750533">
    <w:abstractNumId w:val="15"/>
  </w:num>
  <w:num w:numId="14" w16cid:durableId="724375619">
    <w:abstractNumId w:val="2"/>
  </w:num>
  <w:num w:numId="15" w16cid:durableId="1600406916">
    <w:abstractNumId w:val="10"/>
  </w:num>
  <w:num w:numId="16" w16cid:durableId="1487090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A6"/>
    <w:rsid w:val="000021D2"/>
    <w:rsid w:val="000151FA"/>
    <w:rsid w:val="0001557A"/>
    <w:rsid w:val="0002148F"/>
    <w:rsid w:val="000436A6"/>
    <w:rsid w:val="00046EC3"/>
    <w:rsid w:val="0006518D"/>
    <w:rsid w:val="00067286"/>
    <w:rsid w:val="00072811"/>
    <w:rsid w:val="000D1E1B"/>
    <w:rsid w:val="001170FA"/>
    <w:rsid w:val="001268AD"/>
    <w:rsid w:val="001844C8"/>
    <w:rsid w:val="0019014B"/>
    <w:rsid w:val="001F57F8"/>
    <w:rsid w:val="002227BE"/>
    <w:rsid w:val="00290A1F"/>
    <w:rsid w:val="00365645"/>
    <w:rsid w:val="003C6C53"/>
    <w:rsid w:val="00411831"/>
    <w:rsid w:val="004242A6"/>
    <w:rsid w:val="0045366F"/>
    <w:rsid w:val="004718C8"/>
    <w:rsid w:val="00481F2E"/>
    <w:rsid w:val="004D44A6"/>
    <w:rsid w:val="00551ECF"/>
    <w:rsid w:val="0056322C"/>
    <w:rsid w:val="005C3F07"/>
    <w:rsid w:val="005D1C3E"/>
    <w:rsid w:val="005D1CBA"/>
    <w:rsid w:val="005E27D1"/>
    <w:rsid w:val="00653843"/>
    <w:rsid w:val="006C5ABE"/>
    <w:rsid w:val="006C6ACB"/>
    <w:rsid w:val="006E1256"/>
    <w:rsid w:val="006F6B02"/>
    <w:rsid w:val="007256B8"/>
    <w:rsid w:val="00772C49"/>
    <w:rsid w:val="00777B36"/>
    <w:rsid w:val="00780A11"/>
    <w:rsid w:val="007879FD"/>
    <w:rsid w:val="007A6385"/>
    <w:rsid w:val="00805DD7"/>
    <w:rsid w:val="00875917"/>
    <w:rsid w:val="00877623"/>
    <w:rsid w:val="0089657B"/>
    <w:rsid w:val="008A6899"/>
    <w:rsid w:val="008A6CAC"/>
    <w:rsid w:val="008C5A7E"/>
    <w:rsid w:val="008D49C3"/>
    <w:rsid w:val="008D767E"/>
    <w:rsid w:val="008E2E61"/>
    <w:rsid w:val="008E6B98"/>
    <w:rsid w:val="009B7CBA"/>
    <w:rsid w:val="00A2142B"/>
    <w:rsid w:val="00A4598C"/>
    <w:rsid w:val="00B84286"/>
    <w:rsid w:val="00B91317"/>
    <w:rsid w:val="00B92704"/>
    <w:rsid w:val="00C37F66"/>
    <w:rsid w:val="00D24EE7"/>
    <w:rsid w:val="00D3409F"/>
    <w:rsid w:val="00DA07EE"/>
    <w:rsid w:val="00DF4EEB"/>
    <w:rsid w:val="00E34F8F"/>
    <w:rsid w:val="00E53544"/>
    <w:rsid w:val="00EA1C7E"/>
    <w:rsid w:val="00EB6A7A"/>
    <w:rsid w:val="00F26212"/>
    <w:rsid w:val="00F469E9"/>
    <w:rsid w:val="00FD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9992E1"/>
  <w15:chartTrackingRefBased/>
  <w15:docId w15:val="{D599BE7D-F7CB-4FBC-A515-5201C27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8D"/>
    <w:pPr>
      <w:spacing w:after="120" w:line="264" w:lineRule="auto"/>
    </w:pPr>
    <w:rPr>
      <w:sz w:val="20"/>
      <w:szCs w:val="20"/>
    </w:rPr>
  </w:style>
  <w:style w:type="paragraph" w:styleId="Heading1">
    <w:name w:val="heading 1"/>
    <w:basedOn w:val="Normal"/>
    <w:next w:val="Normal"/>
    <w:link w:val="Heading1Char"/>
    <w:uiPriority w:val="9"/>
    <w:qFormat/>
    <w:rsid w:val="003C6C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C6C5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C6C5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18D"/>
    <w:rPr>
      <w:sz w:val="20"/>
      <w:szCs w:val="20"/>
    </w:rPr>
  </w:style>
  <w:style w:type="paragraph" w:styleId="Footer">
    <w:name w:val="footer"/>
    <w:basedOn w:val="Normal"/>
    <w:link w:val="FooterChar"/>
    <w:uiPriority w:val="99"/>
    <w:unhideWhenUsed/>
    <w:rsid w:val="00065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18D"/>
    <w:rPr>
      <w:sz w:val="20"/>
      <w:szCs w:val="20"/>
    </w:rPr>
  </w:style>
  <w:style w:type="paragraph" w:styleId="ListParagraph">
    <w:name w:val="List Paragraph"/>
    <w:basedOn w:val="Normal"/>
    <w:uiPriority w:val="34"/>
    <w:qFormat/>
    <w:rsid w:val="005D1C3E"/>
    <w:pPr>
      <w:ind w:left="720"/>
      <w:contextualSpacing/>
    </w:pPr>
  </w:style>
  <w:style w:type="character" w:styleId="Hyperlink">
    <w:name w:val="Hyperlink"/>
    <w:basedOn w:val="DefaultParagraphFont"/>
    <w:uiPriority w:val="99"/>
    <w:semiHidden/>
    <w:unhideWhenUsed/>
    <w:rsid w:val="00653843"/>
    <w:rPr>
      <w:color w:val="0563C1"/>
      <w:u w:val="single"/>
    </w:rPr>
  </w:style>
  <w:style w:type="paragraph" w:styleId="NormalWeb">
    <w:name w:val="Normal (Web)"/>
    <w:basedOn w:val="Normal"/>
    <w:uiPriority w:val="99"/>
    <w:semiHidden/>
    <w:unhideWhenUsed/>
    <w:rsid w:val="00653843"/>
    <w:pPr>
      <w:spacing w:before="100" w:beforeAutospacing="1" w:after="100" w:afterAutospacing="1" w:line="240" w:lineRule="auto"/>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3C6C53"/>
    <w:rPr>
      <w:color w:val="954F72" w:themeColor="followedHyperlink"/>
      <w:u w:val="single"/>
    </w:rPr>
  </w:style>
  <w:style w:type="character" w:customStyle="1" w:styleId="Heading2Char">
    <w:name w:val="Heading 2 Char"/>
    <w:basedOn w:val="DefaultParagraphFont"/>
    <w:link w:val="Heading2"/>
    <w:uiPriority w:val="9"/>
    <w:rsid w:val="003C6C5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C6C53"/>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3C6C53"/>
    <w:rPr>
      <w:rFonts w:asciiTheme="majorHAnsi" w:eastAsiaTheme="majorEastAsia" w:hAnsiTheme="majorHAnsi" w:cstheme="majorBidi"/>
      <w:color w:val="2F5496" w:themeColor="accent1" w:themeShade="BF"/>
      <w:sz w:val="32"/>
      <w:szCs w:val="32"/>
    </w:rPr>
  </w:style>
  <w:style w:type="paragraph" w:customStyle="1" w:styleId="gem-c-translation-navlist-item">
    <w:name w:val="gem-c-translation-nav__list-item"/>
    <w:basedOn w:val="Normal"/>
    <w:rsid w:val="003C6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lead-paragraph">
    <w:name w:val="gem-c-lead-paragraph"/>
    <w:basedOn w:val="Normal"/>
    <w:rsid w:val="003C6C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4598C"/>
    <w:pPr>
      <w:spacing w:after="0" w:line="240" w:lineRule="auto"/>
    </w:pPr>
    <w:rPr>
      <w:sz w:val="20"/>
      <w:szCs w:val="20"/>
    </w:rPr>
  </w:style>
  <w:style w:type="paragraph" w:customStyle="1" w:styleId="Default">
    <w:name w:val="Default"/>
    <w:rsid w:val="008776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D7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1243">
      <w:bodyDiv w:val="1"/>
      <w:marLeft w:val="0"/>
      <w:marRight w:val="0"/>
      <w:marTop w:val="0"/>
      <w:marBottom w:val="0"/>
      <w:divBdr>
        <w:top w:val="none" w:sz="0" w:space="0" w:color="auto"/>
        <w:left w:val="none" w:sz="0" w:space="0" w:color="auto"/>
        <w:bottom w:val="none" w:sz="0" w:space="0" w:color="auto"/>
        <w:right w:val="none" w:sz="0" w:space="0" w:color="auto"/>
      </w:divBdr>
    </w:div>
    <w:div w:id="294801293">
      <w:bodyDiv w:val="1"/>
      <w:marLeft w:val="0"/>
      <w:marRight w:val="0"/>
      <w:marTop w:val="0"/>
      <w:marBottom w:val="0"/>
      <w:divBdr>
        <w:top w:val="none" w:sz="0" w:space="0" w:color="auto"/>
        <w:left w:val="none" w:sz="0" w:space="0" w:color="auto"/>
        <w:bottom w:val="none" w:sz="0" w:space="0" w:color="auto"/>
        <w:right w:val="none" w:sz="0" w:space="0" w:color="auto"/>
      </w:divBdr>
      <w:divsChild>
        <w:div w:id="27220972">
          <w:marLeft w:val="0"/>
          <w:marRight w:val="0"/>
          <w:marTop w:val="0"/>
          <w:marBottom w:val="0"/>
          <w:divBdr>
            <w:top w:val="none" w:sz="0" w:space="0" w:color="auto"/>
            <w:left w:val="none" w:sz="0" w:space="0" w:color="auto"/>
            <w:bottom w:val="none" w:sz="0" w:space="0" w:color="auto"/>
            <w:right w:val="none" w:sz="0" w:space="0" w:color="auto"/>
          </w:divBdr>
          <w:divsChild>
            <w:div w:id="1469858971">
              <w:marLeft w:val="0"/>
              <w:marRight w:val="0"/>
              <w:marTop w:val="0"/>
              <w:marBottom w:val="0"/>
              <w:divBdr>
                <w:top w:val="none" w:sz="0" w:space="0" w:color="auto"/>
                <w:left w:val="none" w:sz="0" w:space="0" w:color="auto"/>
                <w:bottom w:val="none" w:sz="0" w:space="0" w:color="auto"/>
                <w:right w:val="none" w:sz="0" w:space="0" w:color="auto"/>
              </w:divBdr>
            </w:div>
          </w:divsChild>
        </w:div>
        <w:div w:id="1568498018">
          <w:marLeft w:val="0"/>
          <w:marRight w:val="0"/>
          <w:marTop w:val="0"/>
          <w:marBottom w:val="0"/>
          <w:divBdr>
            <w:top w:val="none" w:sz="0" w:space="0" w:color="auto"/>
            <w:left w:val="none" w:sz="0" w:space="0" w:color="auto"/>
            <w:bottom w:val="none" w:sz="0" w:space="0" w:color="auto"/>
            <w:right w:val="none" w:sz="0" w:space="0" w:color="auto"/>
          </w:divBdr>
        </w:div>
        <w:div w:id="250504606">
          <w:marLeft w:val="0"/>
          <w:marRight w:val="0"/>
          <w:marTop w:val="0"/>
          <w:marBottom w:val="0"/>
          <w:divBdr>
            <w:top w:val="none" w:sz="0" w:space="0" w:color="auto"/>
            <w:left w:val="none" w:sz="0" w:space="0" w:color="auto"/>
            <w:bottom w:val="none" w:sz="0" w:space="0" w:color="auto"/>
            <w:right w:val="none" w:sz="0" w:space="0" w:color="auto"/>
          </w:divBdr>
        </w:div>
      </w:divsChild>
    </w:div>
    <w:div w:id="1133059975">
      <w:bodyDiv w:val="1"/>
      <w:marLeft w:val="0"/>
      <w:marRight w:val="0"/>
      <w:marTop w:val="0"/>
      <w:marBottom w:val="0"/>
      <w:divBdr>
        <w:top w:val="none" w:sz="0" w:space="0" w:color="auto"/>
        <w:left w:val="none" w:sz="0" w:space="0" w:color="auto"/>
        <w:bottom w:val="none" w:sz="0" w:space="0" w:color="auto"/>
        <w:right w:val="none" w:sz="0" w:space="0" w:color="auto"/>
      </w:divBdr>
    </w:div>
    <w:div w:id="1262030689">
      <w:bodyDiv w:val="1"/>
      <w:marLeft w:val="0"/>
      <w:marRight w:val="0"/>
      <w:marTop w:val="0"/>
      <w:marBottom w:val="0"/>
      <w:divBdr>
        <w:top w:val="none" w:sz="0" w:space="0" w:color="auto"/>
        <w:left w:val="none" w:sz="0" w:space="0" w:color="auto"/>
        <w:bottom w:val="none" w:sz="0" w:space="0" w:color="auto"/>
        <w:right w:val="none" w:sz="0" w:space="0" w:color="auto"/>
      </w:divBdr>
      <w:divsChild>
        <w:div w:id="493423220">
          <w:marLeft w:val="0"/>
          <w:marRight w:val="0"/>
          <w:marTop w:val="0"/>
          <w:marBottom w:val="0"/>
          <w:divBdr>
            <w:top w:val="none" w:sz="0" w:space="0" w:color="auto"/>
            <w:left w:val="none" w:sz="0" w:space="0" w:color="auto"/>
            <w:bottom w:val="none" w:sz="0" w:space="0" w:color="auto"/>
            <w:right w:val="none" w:sz="0" w:space="0" w:color="auto"/>
          </w:divBdr>
          <w:divsChild>
            <w:div w:id="82340936">
              <w:marLeft w:val="0"/>
              <w:marRight w:val="0"/>
              <w:marTop w:val="0"/>
              <w:marBottom w:val="0"/>
              <w:divBdr>
                <w:top w:val="none" w:sz="0" w:space="0" w:color="auto"/>
                <w:left w:val="none" w:sz="0" w:space="0" w:color="auto"/>
                <w:bottom w:val="none" w:sz="0" w:space="0" w:color="auto"/>
                <w:right w:val="none" w:sz="0" w:space="0" w:color="auto"/>
              </w:divBdr>
            </w:div>
          </w:divsChild>
        </w:div>
        <w:div w:id="514610551">
          <w:marLeft w:val="0"/>
          <w:marRight w:val="0"/>
          <w:marTop w:val="0"/>
          <w:marBottom w:val="750"/>
          <w:divBdr>
            <w:top w:val="none" w:sz="0" w:space="0" w:color="auto"/>
            <w:left w:val="none" w:sz="0" w:space="0" w:color="auto"/>
            <w:bottom w:val="none" w:sz="0" w:space="0" w:color="auto"/>
            <w:right w:val="none" w:sz="0" w:space="0" w:color="auto"/>
          </w:divBdr>
          <w:divsChild>
            <w:div w:id="433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8578">
      <w:bodyDiv w:val="1"/>
      <w:marLeft w:val="0"/>
      <w:marRight w:val="0"/>
      <w:marTop w:val="0"/>
      <w:marBottom w:val="0"/>
      <w:divBdr>
        <w:top w:val="none" w:sz="0" w:space="0" w:color="auto"/>
        <w:left w:val="none" w:sz="0" w:space="0" w:color="auto"/>
        <w:bottom w:val="none" w:sz="0" w:space="0" w:color="auto"/>
        <w:right w:val="none" w:sz="0" w:space="0" w:color="auto"/>
      </w:divBdr>
      <w:divsChild>
        <w:div w:id="1111782768">
          <w:marLeft w:val="547"/>
          <w:marRight w:val="0"/>
          <w:marTop w:val="200"/>
          <w:marBottom w:val="0"/>
          <w:divBdr>
            <w:top w:val="none" w:sz="0" w:space="0" w:color="auto"/>
            <w:left w:val="none" w:sz="0" w:space="0" w:color="auto"/>
            <w:bottom w:val="none" w:sz="0" w:space="0" w:color="auto"/>
            <w:right w:val="none" w:sz="0" w:space="0" w:color="auto"/>
          </w:divBdr>
        </w:div>
        <w:div w:id="311835310">
          <w:marLeft w:val="547"/>
          <w:marRight w:val="0"/>
          <w:marTop w:val="200"/>
          <w:marBottom w:val="0"/>
          <w:divBdr>
            <w:top w:val="none" w:sz="0" w:space="0" w:color="auto"/>
            <w:left w:val="none" w:sz="0" w:space="0" w:color="auto"/>
            <w:bottom w:val="none" w:sz="0" w:space="0" w:color="auto"/>
            <w:right w:val="none" w:sz="0" w:space="0" w:color="auto"/>
          </w:divBdr>
        </w:div>
        <w:div w:id="32397223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p-content/uploads/2020/10/UKRI-020920-ConcordatonOpenResearchData.pdf" TargetMode="External"/><Relationship Id="rId13" Type="http://schemas.openxmlformats.org/officeDocument/2006/relationships/hyperlink" Target="http://www.social-policy.org.uk/social-policy-guidelines-on-research-eth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publications/esrc-research-data-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ukri.org/documents/hefce-documents/concordat-for-engaging-the-public-with-r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fair.org/fair-principles/" TargetMode="External"/><Relationship Id="rId5" Type="http://schemas.openxmlformats.org/officeDocument/2006/relationships/webSettings" Target="webSettings.xml"/><Relationship Id="rId15" Type="http://schemas.openxmlformats.org/officeDocument/2006/relationships/hyperlink" Target="https://ukdataservice.ac.uk/learning-hub/research-data-management/" TargetMode="External"/><Relationship Id="rId10" Type="http://schemas.openxmlformats.org/officeDocument/2006/relationships/hyperlink" Target="https://www.universitiesuk.ac.uk/sites/default/files/field/downloads/2021-08/Updated%20FINAL-the-concordat-to-support-research-integri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ri.org/wp-content/uploads/2021/03/UKRI-050321-PolicyGuidelinesGovernanceOfGoodResearchConduct.pdf" TargetMode="External"/><Relationship Id="rId14" Type="http://schemas.openxmlformats.org/officeDocument/2006/relationships/hyperlink" Target="https://the-sra.org.uk/common/Uploaded%20files/Resources/SRA%20Research%20Ethics%20guidance%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FOUNDATION%20MANAGEMENT\GOVERNANCE\Trustee%20Meetings\21.22\Trustees%20pap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4036C-A641-4688-B058-CB67DDBE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Trustees papers_template</Template>
  <TotalTime>5</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Jayne.Desmond</dc:creator>
  <cp:keywords/>
  <dc:description/>
  <cp:lastModifiedBy>David</cp:lastModifiedBy>
  <cp:revision>2</cp:revision>
  <cp:lastPrinted>2023-09-07T13:34:00Z</cp:lastPrinted>
  <dcterms:created xsi:type="dcterms:W3CDTF">2024-10-28T12:08:00Z</dcterms:created>
  <dcterms:modified xsi:type="dcterms:W3CDTF">2024-10-28T12:08:00Z</dcterms:modified>
</cp:coreProperties>
</file>